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CA5" w:rsidRPr="0057684D" w:rsidRDefault="00C62CA5" w:rsidP="00C62CA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7684D">
        <w:rPr>
          <w:rFonts w:ascii="Corbel" w:hAnsi="Corbel"/>
          <w:b/>
          <w:smallCaps/>
          <w:sz w:val="24"/>
          <w:szCs w:val="24"/>
        </w:rPr>
        <w:t>SYLABUS</w:t>
      </w:r>
    </w:p>
    <w:p w:rsidR="00C62CA5" w:rsidRPr="0057684D" w:rsidRDefault="00C62CA5" w:rsidP="00C62C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684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F00B4B">
        <w:rPr>
          <w:rFonts w:ascii="Corbel" w:hAnsi="Corbel"/>
          <w:b/>
          <w:smallCaps/>
          <w:sz w:val="24"/>
          <w:szCs w:val="24"/>
        </w:rPr>
        <w:t>1</w:t>
      </w:r>
      <w:r w:rsidRPr="0057684D">
        <w:rPr>
          <w:rFonts w:ascii="Corbel" w:hAnsi="Corbel"/>
          <w:b/>
          <w:smallCaps/>
          <w:sz w:val="24"/>
          <w:szCs w:val="24"/>
        </w:rPr>
        <w:t>-202</w:t>
      </w:r>
      <w:r w:rsidR="00F00B4B">
        <w:rPr>
          <w:rFonts w:ascii="Corbel" w:hAnsi="Corbel"/>
          <w:b/>
          <w:smallCaps/>
          <w:sz w:val="24"/>
          <w:szCs w:val="24"/>
        </w:rPr>
        <w:t>6</w:t>
      </w:r>
      <w:r w:rsidRPr="0057684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C62CA5" w:rsidRPr="0057684D" w:rsidRDefault="00C62CA5" w:rsidP="00C62CA5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Rok akademicki </w:t>
      </w:r>
      <w:r w:rsidRPr="0057684D">
        <w:rPr>
          <w:rFonts w:ascii="Corbel" w:hAnsi="Corbel"/>
          <w:b/>
          <w:sz w:val="24"/>
          <w:szCs w:val="24"/>
        </w:rPr>
        <w:t>202</w:t>
      </w:r>
      <w:r w:rsidR="00F00B4B">
        <w:rPr>
          <w:rFonts w:ascii="Corbel" w:hAnsi="Corbel"/>
          <w:b/>
          <w:sz w:val="24"/>
          <w:szCs w:val="24"/>
        </w:rPr>
        <w:t>1</w:t>
      </w:r>
      <w:r w:rsidRPr="0057684D">
        <w:rPr>
          <w:rFonts w:ascii="Corbel" w:hAnsi="Corbel"/>
          <w:b/>
          <w:sz w:val="24"/>
          <w:szCs w:val="24"/>
        </w:rPr>
        <w:t>/202</w:t>
      </w:r>
      <w:r w:rsidR="00F00B4B">
        <w:rPr>
          <w:rFonts w:ascii="Corbel" w:hAnsi="Corbel"/>
          <w:b/>
          <w:sz w:val="24"/>
          <w:szCs w:val="24"/>
        </w:rPr>
        <w:t>2</w:t>
      </w:r>
      <w:bookmarkStart w:id="0" w:name="_GoBack"/>
      <w:bookmarkEnd w:id="0"/>
    </w:p>
    <w:p w:rsidR="00C62CA5" w:rsidRPr="0057684D" w:rsidRDefault="00C62CA5" w:rsidP="00C62CA5">
      <w:pPr>
        <w:spacing w:after="0" w:line="240" w:lineRule="auto"/>
        <w:rPr>
          <w:rFonts w:ascii="Corbel" w:hAnsi="Corbel"/>
          <w:sz w:val="24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4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E921A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teoretyczne podstawy wychowania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I rok, 1semestr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E92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57684D">
              <w:rPr>
                <w:rFonts w:ascii="Corbel" w:hAnsi="Corbel"/>
                <w:b w:val="0"/>
                <w:sz w:val="24"/>
                <w:szCs w:val="24"/>
              </w:rPr>
              <w:t>Śniegulska</w:t>
            </w:r>
            <w:proofErr w:type="spellEnd"/>
          </w:p>
        </w:tc>
      </w:tr>
    </w:tbl>
    <w:p w:rsidR="00C62CA5" w:rsidRPr="0057684D" w:rsidRDefault="00C62CA5" w:rsidP="00C62CA5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* </w:t>
      </w:r>
      <w:r w:rsidRPr="0057684D">
        <w:rPr>
          <w:rFonts w:ascii="Corbel" w:hAnsi="Corbel"/>
          <w:i/>
          <w:sz w:val="24"/>
          <w:szCs w:val="24"/>
        </w:rPr>
        <w:t>-opcjonalni</w:t>
      </w:r>
      <w:r w:rsidRPr="0057684D">
        <w:rPr>
          <w:rFonts w:ascii="Corbel" w:hAnsi="Corbel"/>
          <w:sz w:val="24"/>
          <w:szCs w:val="24"/>
        </w:rPr>
        <w:t>e,</w:t>
      </w:r>
      <w:r w:rsidRPr="0057684D">
        <w:rPr>
          <w:rFonts w:ascii="Corbel" w:hAnsi="Corbel"/>
          <w:i/>
          <w:sz w:val="24"/>
          <w:szCs w:val="24"/>
        </w:rPr>
        <w:t xml:space="preserve"> zgodnie z ustaleniami w Jednostce</w:t>
      </w:r>
    </w:p>
    <w:p w:rsidR="00C62CA5" w:rsidRPr="0057684D" w:rsidRDefault="00C62CA5" w:rsidP="00C62CA5">
      <w:pPr>
        <w:pStyle w:val="Podpunkty"/>
        <w:rPr>
          <w:rFonts w:ascii="Corbel" w:hAnsi="Corbel"/>
          <w:sz w:val="24"/>
          <w:szCs w:val="24"/>
        </w:rPr>
      </w:pPr>
    </w:p>
    <w:p w:rsidR="00C62CA5" w:rsidRPr="0057684D" w:rsidRDefault="00C62CA5" w:rsidP="00C62CA5">
      <w:pPr>
        <w:pStyle w:val="Podpunkty"/>
        <w:spacing w:after="0" w:line="240" w:lineRule="auto"/>
        <w:ind w:left="284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>1.1. Formy zajęć dydaktycznych,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C62CA5" w:rsidRPr="0057684D" w:rsidTr="00C62CA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Semestr</w:t>
            </w:r>
          </w:p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C62CA5" w:rsidRPr="0057684D" w:rsidTr="00C62C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62CA5" w:rsidRPr="0057684D" w:rsidRDefault="00C62CA5" w:rsidP="00C62CA5">
      <w:pPr>
        <w:pStyle w:val="Podpunkty"/>
        <w:rPr>
          <w:rFonts w:ascii="Corbel" w:hAnsi="Corbel"/>
          <w:b/>
          <w:sz w:val="24"/>
          <w:szCs w:val="24"/>
        </w:rPr>
      </w:pP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1.2.</w:t>
      </w:r>
      <w:r w:rsidRPr="0057684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62CA5" w:rsidRPr="0057684D" w:rsidRDefault="00C62CA5" w:rsidP="00C62CA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eastAsia="MS Gothic" w:hAnsi="Corbel"/>
          <w:b w:val="0"/>
          <w:szCs w:val="24"/>
        </w:rPr>
        <w:sym w:font="Wingdings" w:char="F078"/>
      </w:r>
      <w:r w:rsidRPr="0057684D">
        <w:rPr>
          <w:rFonts w:ascii="Corbel" w:eastAsia="MS Gothic" w:hAnsi="Corbel"/>
          <w:b w:val="0"/>
          <w:szCs w:val="24"/>
        </w:rPr>
        <w:t xml:space="preserve"> </w:t>
      </w:r>
      <w:r w:rsidRPr="0057684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C62CA5" w:rsidRPr="0057684D" w:rsidRDefault="00C62CA5" w:rsidP="00C62CA5">
      <w:pPr>
        <w:pStyle w:val="Punktygwne"/>
        <w:spacing w:before="0" w:after="0"/>
        <w:ind w:left="284" w:firstLine="424"/>
        <w:rPr>
          <w:rFonts w:ascii="Corbel" w:hAnsi="Corbel"/>
          <w:b w:val="0"/>
          <w:smallCaps w:val="0"/>
          <w:szCs w:val="24"/>
        </w:rPr>
      </w:pPr>
      <w:r w:rsidRPr="0057684D">
        <w:rPr>
          <w:rFonts w:ascii="MS Gothic" w:eastAsia="MS Gothic" w:hAnsi="MS Gothic" w:cs="MS Gothic" w:hint="eastAsia"/>
          <w:b w:val="0"/>
          <w:szCs w:val="24"/>
        </w:rPr>
        <w:t>☐</w:t>
      </w:r>
      <w:r w:rsidRPr="0057684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1.3 </w:t>
      </w:r>
      <w:r w:rsidRPr="0057684D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ab/>
      </w:r>
      <w:r w:rsidRPr="0057684D">
        <w:rPr>
          <w:rFonts w:ascii="Corbel" w:hAnsi="Corbel"/>
          <w:b w:val="0"/>
          <w:smallCaps w:val="0"/>
          <w:szCs w:val="24"/>
        </w:rPr>
        <w:t>wykład: zaliczenie bez oceny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całość przedmiotu: egzamin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  <w:r w:rsidRPr="0057684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62CA5" w:rsidRPr="0057684D" w:rsidTr="008259BF">
        <w:tc>
          <w:tcPr>
            <w:tcW w:w="9498" w:type="dxa"/>
          </w:tcPr>
          <w:p w:rsidR="00C62CA5" w:rsidRPr="0057684D" w:rsidRDefault="00C62CA5" w:rsidP="00C62CA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potrafi samodzielnie analizować teksty naukowe i samodzielnie wypowiadać 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się w formie pisemnej.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  <w:r w:rsidRPr="0057684D">
        <w:rPr>
          <w:rFonts w:ascii="Corbel" w:hAnsi="Corbel"/>
          <w:szCs w:val="24"/>
        </w:rPr>
        <w:t>3. cele, efekty uczenia się , treści Programowe i stosowane metody Dydaktyczne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</w:p>
    <w:p w:rsidR="00C62CA5" w:rsidRPr="0057684D" w:rsidRDefault="00C62CA5" w:rsidP="00C62CA5">
      <w:pPr>
        <w:pStyle w:val="Podpunkty"/>
        <w:spacing w:after="0" w:line="240" w:lineRule="auto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62CA5" w:rsidRPr="0057684D" w:rsidTr="008259BF"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Zapoznanie studentów z wiedzą dotyczącą szeroko rozumianego procesu wychowania, jego psychospołecznych i kulturowych uwarunkowań oraz z wybranymi koncepcjami wychowania, ich założeniami i przedstawicielami.  </w:t>
            </w:r>
          </w:p>
        </w:tc>
      </w:tr>
      <w:tr w:rsidR="00C62CA5" w:rsidRPr="0057684D" w:rsidTr="008259BF">
        <w:trPr>
          <w:trHeight w:val="569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Zapoznanie studentów ze specyfiką funkcjonowania podstawowych środowisk wychowawczych i ich wpływem na rozwój wychowanka.  </w:t>
            </w:r>
          </w:p>
        </w:tc>
      </w:tr>
      <w:tr w:rsidR="00C62CA5" w:rsidRPr="0057684D" w:rsidTr="008259BF">
        <w:trPr>
          <w:trHeight w:val="729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C62CA5" w:rsidRPr="0057684D" w:rsidTr="008259BF">
        <w:trPr>
          <w:trHeight w:val="307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Rozwijanie u studentów umiejętności właściwego interpretowania zagrożeń dla rozwoju dziecka.</w:t>
            </w:r>
          </w:p>
        </w:tc>
      </w:tr>
      <w:tr w:rsidR="00C62CA5" w:rsidRPr="0057684D" w:rsidTr="008259BF">
        <w:trPr>
          <w:trHeight w:val="365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62CA5" w:rsidRPr="0057684D" w:rsidRDefault="00C62CA5" w:rsidP="00C62CA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>3.2 Efekty uczenia się dla przedmiotu</w:t>
      </w:r>
      <w:r w:rsidRPr="0057684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C62CA5" w:rsidRPr="0057684D" w:rsidTr="008259BF">
        <w:tc>
          <w:tcPr>
            <w:tcW w:w="1418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br/>
              <w:t>do efektów  kierunkowych</w:t>
            </w:r>
            <w:r w:rsidRPr="005768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2CA5" w:rsidRPr="0057684D" w:rsidTr="008259BF">
        <w:tc>
          <w:tcPr>
            <w:tcW w:w="1418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2CA5" w:rsidRPr="0057684D" w:rsidTr="00C62CA5"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Scharakteryzuje specyfikę funkcjonowania środowisk wychowawczych, takich jak rodzina i szkoła, opisze procesy w nich zachodzące oraz dokonujący się proces  przekazu wartości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</w:p>
        </w:tc>
      </w:tr>
      <w:tr w:rsidR="00C62CA5" w:rsidRPr="0057684D" w:rsidTr="00C62CA5"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Scharakteryzuje współczesne podejście do problemów wychowania i nowe formy oddziaływań wychowawczych adresowanych do dzieci ze specjalnymi potrzebami edukacyjnymi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</w:tc>
      </w:tr>
      <w:tr w:rsidR="00C62CA5" w:rsidRPr="0057684D" w:rsidTr="00C62CA5">
        <w:trPr>
          <w:trHeight w:val="153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Zanalizuje problemy wychowawcze, wykorzystując wiedzę z zakresu innych dyscyplin naukowych (pedagogiki ogólnej, psychologii, pedagogiki specjalnej)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62CA5" w:rsidRPr="0057684D" w:rsidTr="00C62CA5">
        <w:trPr>
          <w:trHeight w:val="122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Zinterpretuje sytuacje wychowawcze konstruowane dla potrzeb realizacji celów wychowania, wykorzystując przy tym wiedzę z   pedagogiki specjalnej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C62CA5" w:rsidRPr="0057684D" w:rsidTr="00C62CA5">
        <w:trPr>
          <w:trHeight w:val="161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Zaprojektuje działania na rzecz poprawy wychowawczego funkcjonowania szkoły i innych placówek opiekuńczo-wychowawczych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C62CA5" w:rsidRPr="0057684D" w:rsidTr="00C62CA5">
        <w:trPr>
          <w:trHeight w:val="130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Jest przygotowany do stałego poszerzania swojej wiedzy oraz doskonalenia umiejętności w zakresie organizowania procesu wychowania w odniesieniu do dzieci o specjalnych potrzebach edukacyjnych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PS.K8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62CA5" w:rsidRPr="0057684D" w:rsidRDefault="00C62CA5" w:rsidP="00C62C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 xml:space="preserve">3.3 Treści programowe </w:t>
      </w:r>
    </w:p>
    <w:p w:rsidR="00C62CA5" w:rsidRPr="0057684D" w:rsidRDefault="00C62CA5" w:rsidP="00C62C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  </w:t>
      </w:r>
    </w:p>
    <w:p w:rsidR="00C62CA5" w:rsidRPr="0057684D" w:rsidRDefault="00C62CA5" w:rsidP="00C62CA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2CA5" w:rsidRPr="0057684D" w:rsidTr="008259BF"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lastRenderedPageBreak/>
              <w:t>Treści merytoryczne: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Teoria wychowania jako dyscyplina pedagogiczna - przedmiot zainteresowań; sposoby uprawiania teorii wychowania;  teoria wychowania w relacjach z innymi naukami, podstawowe pojęcia teorii wychowania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Struktura procesu wychowania – warstwa aksjologiczna i operacyjna.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Dziedziny wychowania: wychowanie zdrowotne, moralne, estetyczne i umysłowe.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Krytyczna ocena współczesnej edukacji szkolnej. Możliwości kreowania wychowawczego środowiska szkoły na miarę potrzeb dziecka.   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Swoboda i przymus w wychowaniu. Przymus a przemoc. Przemoc wobec dziecka w rodzinie i szkole. 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Wychowanie i edukacja w kontekście wyzwań i dylematów czasu przemian – rekapitulacja głównych tez wykładów.</w:t>
            </w:r>
          </w:p>
        </w:tc>
      </w:tr>
    </w:tbl>
    <w:p w:rsidR="00C62CA5" w:rsidRPr="0057684D" w:rsidRDefault="00C62CA5" w:rsidP="00C62CA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C62CA5" w:rsidRPr="0057684D" w:rsidRDefault="00C62CA5" w:rsidP="00C62C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2CA5" w:rsidRPr="0057684D" w:rsidTr="008259BF"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C62CA5" w:rsidRPr="0057684D" w:rsidTr="008259BF">
        <w:trPr>
          <w:trHeight w:val="145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Cechy wychowania,  adaptacyjny i emancypacyjny charakter wychowania; warunki  skuteczności wychowania.  </w:t>
            </w:r>
          </w:p>
        </w:tc>
      </w:tr>
      <w:tr w:rsidR="00C62CA5" w:rsidRPr="0057684D" w:rsidTr="008259BF">
        <w:trPr>
          <w:trHeight w:val="101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Wychowanie w świetle wybranych koncepcji psychologicznych i pedagogicznych.</w:t>
            </w:r>
          </w:p>
        </w:tc>
      </w:tr>
      <w:tr w:rsidR="00C62CA5" w:rsidRPr="0057684D" w:rsidTr="008259BF">
        <w:trPr>
          <w:trHeight w:val="116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Aksjologiczny wymiar procesu wychowania.</w:t>
            </w:r>
          </w:p>
        </w:tc>
      </w:tr>
      <w:tr w:rsidR="00C62CA5" w:rsidRPr="0057684D" w:rsidTr="008259BF">
        <w:trPr>
          <w:trHeight w:val="176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Rodzina fundamentalnym środowiskiem wychowawczym- pojęcie, typy i funkcje rodziny, postawy rodzicielskie, role rodzicielski, autorytet rodzicielski, przemiany współczesnej rodziny, tzw. kryzys rodziny.</w:t>
            </w:r>
          </w:p>
        </w:tc>
      </w:tr>
      <w:tr w:rsidR="00C62CA5" w:rsidRPr="0057684D" w:rsidTr="008259BF">
        <w:trPr>
          <w:trHeight w:val="115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Szkoła jako środowisko wychowawcze – system szkolny, funkcje szkoły, klas jako grupa społeczna, struktura klasy szkolnej, style wychowania, model wychowawcy klasy i jego autorytet, rozwiązywanie konfliktów w klasie, rozwój zainteresowań w szkole, współpraca wychowawcy klasy z rodzicami wychowanka i zasady wzajemnej komunikacji.</w:t>
            </w:r>
          </w:p>
        </w:tc>
      </w:tr>
      <w:tr w:rsidR="00C62CA5" w:rsidRPr="0057684D" w:rsidTr="008259BF">
        <w:trPr>
          <w:trHeight w:val="138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Grupa rówieśnicza i jej znaczenie w rozwoju dziecka.</w:t>
            </w:r>
          </w:p>
        </w:tc>
      </w:tr>
      <w:tr w:rsidR="00C62CA5" w:rsidRPr="0057684D" w:rsidTr="008259BF"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Media – szanse wychowawcze, możliwości wykorzystania w edukacji, zagrożenia dla rozwoju dziecka.</w:t>
            </w:r>
          </w:p>
        </w:tc>
      </w:tr>
      <w:tr w:rsidR="00C62CA5" w:rsidRPr="0057684D" w:rsidTr="008259BF">
        <w:trPr>
          <w:trHeight w:val="138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Metody i techniki wychowania.  Rodzic i wychowawca jako osoby znaczące.</w:t>
            </w:r>
          </w:p>
        </w:tc>
      </w:tr>
      <w:tr w:rsidR="00C62CA5" w:rsidRPr="0057684D" w:rsidTr="008259BF">
        <w:trPr>
          <w:trHeight w:val="153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Trudności wychowawcze i możliwości przeciwdziałania – pojęcie trudności wychowawczych, przyczyny, możliwości przeciwdziałania (przykłady zajęć profilaktycznych), rola empatii w profilaktyce trudności wychowawczych, pomoc i wsparcie szkoły w przypadku sprawiania przez dziecko trudności wychowawczych.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3.4 Metody dydaktyczne</w:t>
      </w:r>
      <w:r w:rsidRPr="0057684D">
        <w:rPr>
          <w:rFonts w:ascii="Corbel" w:hAnsi="Corbel"/>
          <w:b w:val="0"/>
          <w:smallCaps w:val="0"/>
          <w:szCs w:val="24"/>
        </w:rPr>
        <w:t xml:space="preserve"> </w:t>
      </w:r>
    </w:p>
    <w:p w:rsidR="00C62CA5" w:rsidRPr="0057684D" w:rsidRDefault="00C62CA5" w:rsidP="00C62CA5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wykład: problemowy, konwersatoryjny</w:t>
      </w:r>
    </w:p>
    <w:p w:rsidR="00C62CA5" w:rsidRPr="0057684D" w:rsidRDefault="00C62CA5" w:rsidP="00C62CA5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ćwiczenia: analiza tekstów naukowych, dyskusja, praca w grupach, prezentacje multimedialne</w:t>
      </w:r>
    </w:p>
    <w:p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4. METODY I KRYTERIA OCENY </w:t>
      </w:r>
    </w:p>
    <w:p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0"/>
        <w:gridCol w:w="2409"/>
      </w:tblGrid>
      <w:tr w:rsidR="00C62CA5" w:rsidRPr="0057684D" w:rsidTr="00C62CA5">
        <w:tc>
          <w:tcPr>
            <w:tcW w:w="156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62CA5" w:rsidRPr="0057684D" w:rsidTr="00C62CA5"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 xml:space="preserve">Obserwacja w trakcie ćwiczeń, przygotowanie </w:t>
            </w:r>
            <w:r w:rsidRPr="0057684D">
              <w:rPr>
                <w:rFonts w:ascii="Corbel" w:hAnsi="Corbel"/>
                <w:b w:val="0"/>
                <w:szCs w:val="24"/>
              </w:rPr>
              <w:lastRenderedPageBreak/>
              <w:t>prezentacji multimedialnej,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lastRenderedPageBreak/>
              <w:t>Wykład, ćwiczenia</w:t>
            </w:r>
          </w:p>
        </w:tc>
      </w:tr>
      <w:tr w:rsidR="00C62CA5" w:rsidRPr="0057684D" w:rsidTr="00C62CA5">
        <w:trPr>
          <w:trHeight w:val="145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przygotowanie prezentacji multimedialnej,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38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83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02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30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62CA5" w:rsidRPr="0057684D" w:rsidTr="008259BF">
        <w:tc>
          <w:tcPr>
            <w:tcW w:w="9670" w:type="dxa"/>
          </w:tcPr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wykładu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nieobecności).</w:t>
            </w:r>
          </w:p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ćwiczeń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nieobecności), zaliczenie kolokwium, aktywność na zajęciach (udział w dyskusji; przygotowanie prezentacji multimedialnej).</w:t>
            </w:r>
          </w:p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Warunek zaliczenia przedmiotu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pozytywn</w:t>
            </w:r>
            <w:r w:rsidR="0083192A" w:rsidRPr="0057684D">
              <w:rPr>
                <w:rFonts w:ascii="Corbel" w:hAnsi="Corbel"/>
                <w:b w:val="0"/>
                <w:smallCaps w:val="0"/>
                <w:szCs w:val="24"/>
              </w:rPr>
              <w:t>e zaliczenie egzaminu pisemnego, ocenianie w tradycyjne formule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C62CA5" w:rsidRPr="0057684D" w:rsidTr="008259BF">
        <w:tc>
          <w:tcPr>
            <w:tcW w:w="5103" w:type="dxa"/>
            <w:vAlign w:val="center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  <w:vAlign w:val="center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45391" w:rsidRPr="0057684D">
              <w:rPr>
                <w:rFonts w:ascii="Corbel" w:hAnsi="Corbel"/>
                <w:sz w:val="24"/>
                <w:szCs w:val="24"/>
              </w:rPr>
              <w:t>:</w:t>
            </w:r>
          </w:p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konsultacje – 2; egzamin - 2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45391" w:rsidRPr="0057684D">
              <w:rPr>
                <w:rFonts w:ascii="Corbel" w:hAnsi="Corbel"/>
                <w:sz w:val="24"/>
                <w:szCs w:val="24"/>
              </w:rPr>
              <w:t>:</w:t>
            </w:r>
          </w:p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przygotowanie do zajęć, egzaminu, przygotowanie prezentacji </w:t>
            </w: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multimedalnej</w:t>
            </w:r>
            <w:proofErr w:type="spellEnd"/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4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6. PRAKTYKI ZAWODOWE W RAMACH PRZEDMIOTU</w:t>
      </w:r>
    </w:p>
    <w:p w:rsidR="00C62CA5" w:rsidRPr="0057684D" w:rsidRDefault="00C62CA5" w:rsidP="002453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C62CA5" w:rsidRPr="0057684D" w:rsidTr="00E921AF">
        <w:trPr>
          <w:trHeight w:val="397"/>
        </w:trPr>
        <w:tc>
          <w:tcPr>
            <w:tcW w:w="4111" w:type="dxa"/>
          </w:tcPr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62CA5" w:rsidRPr="0057684D" w:rsidRDefault="00245391" w:rsidP="002453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62CA5" w:rsidRPr="0057684D" w:rsidTr="00E921AF">
        <w:trPr>
          <w:trHeight w:val="397"/>
        </w:trPr>
        <w:tc>
          <w:tcPr>
            <w:tcW w:w="4111" w:type="dxa"/>
          </w:tcPr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62CA5" w:rsidRPr="0057684D" w:rsidRDefault="00245391" w:rsidP="002453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2CA5" w:rsidRPr="0057684D" w:rsidTr="00245391">
        <w:trPr>
          <w:trHeight w:val="397"/>
        </w:trPr>
        <w:tc>
          <w:tcPr>
            <w:tcW w:w="9639" w:type="dxa"/>
          </w:tcPr>
          <w:p w:rsidR="00C62CA5" w:rsidRPr="0057684D" w:rsidRDefault="00C62CA5" w:rsidP="008259B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7684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T. E. Dąbrowska, B. </w:t>
            </w:r>
            <w:proofErr w:type="spellStart"/>
            <w:r w:rsidRPr="0057684D">
              <w:rPr>
                <w:rFonts w:ascii="Corbel" w:hAnsi="Corbel"/>
                <w:b w:val="0"/>
                <w:smallCaps w:val="0"/>
                <w:szCs w:val="24"/>
              </w:rPr>
              <w:t>Wojciechowaka-Charlak</w:t>
            </w:r>
            <w:proofErr w:type="spellEnd"/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Między praktyką a teorią wychowania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UMCS Lublin 2005.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Dudzikowa, K. </w:t>
            </w:r>
            <w:proofErr w:type="spellStart"/>
            <w:r w:rsidRPr="0057684D">
              <w:rPr>
                <w:rFonts w:ascii="Corbel" w:hAnsi="Corbel"/>
                <w:b w:val="0"/>
                <w:smallCaps w:val="0"/>
                <w:szCs w:val="24"/>
              </w:rPr>
              <w:t>Knasiecka-Falbierska</w:t>
            </w:r>
            <w:proofErr w:type="spellEnd"/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Sprawcy i/lub ofiary działań pozornych w edukacji szkolnej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2013.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Teoria wychowania</w:t>
            </w:r>
            <w:r w:rsidRPr="0057684D">
              <w:rPr>
                <w:rFonts w:ascii="Corbel" w:hAnsi="Corbel"/>
                <w:sz w:val="24"/>
                <w:szCs w:val="24"/>
              </w:rPr>
              <w:t>, „GLOB” Toruń – Olsztyn 1996.</w:t>
            </w:r>
          </w:p>
          <w:p w:rsidR="00C62CA5" w:rsidRPr="0057684D" w:rsidRDefault="00C62CA5" w:rsidP="00245391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S. Kawula, J. </w:t>
            </w: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A.W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Pedagogika rodziny. Obszary i panorama problematyki</w:t>
            </w:r>
            <w:r w:rsidRPr="0057684D">
              <w:rPr>
                <w:rFonts w:ascii="Corbel" w:hAnsi="Corbel"/>
                <w:sz w:val="24"/>
                <w:szCs w:val="24"/>
              </w:rPr>
              <w:t>, Adam Marszałek Toruń 2014.</w:t>
            </w:r>
            <w:r w:rsidRPr="0057684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Łobocki,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Teoria wychowania w zarysie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2003.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M. Łobocki,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W trosce o wychowanie w szkole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2007.</w:t>
            </w:r>
          </w:p>
          <w:p w:rsidR="00245391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Nowak,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Teorie i koncepcje wychowania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7684D">
              <w:rPr>
                <w:rFonts w:ascii="Corbel" w:hAnsi="Corbel"/>
                <w:b w:val="0"/>
                <w:smallCaps w:val="0"/>
                <w:szCs w:val="24"/>
              </w:rPr>
              <w:t>WAiP</w:t>
            </w:r>
            <w:proofErr w:type="spellEnd"/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 Warszawa 2008.</w:t>
            </w:r>
          </w:p>
          <w:p w:rsidR="00C62CA5" w:rsidRPr="0057684D" w:rsidRDefault="00245391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="00C62CA5"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Śliwerski, </w:t>
            </w:r>
            <w:r w:rsidR="00C62CA5"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Pedagogika ogólna. Podstawowe prawidłowości</w:t>
            </w:r>
            <w:r w:rsidR="00C62CA5" w:rsidRPr="0057684D">
              <w:rPr>
                <w:rFonts w:ascii="Corbel" w:hAnsi="Corbel"/>
                <w:b w:val="0"/>
                <w:smallCaps w:val="0"/>
                <w:szCs w:val="24"/>
              </w:rPr>
              <w:t>, Impuls Kraków 2012.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57684D">
              <w:rPr>
                <w:rFonts w:ascii="Corbel" w:hAnsi="Corbel"/>
                <w:b w:val="0"/>
                <w:smallCaps w:val="0"/>
                <w:szCs w:val="24"/>
              </w:rPr>
              <w:t>Śniegulska</w:t>
            </w:r>
            <w:proofErr w:type="spellEnd"/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, W. Walc (red.),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Rola osób znaczących w wychowaniu dzieci i młodzieży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UR Rzeszów 2019.</w:t>
            </w:r>
          </w:p>
        </w:tc>
      </w:tr>
      <w:tr w:rsidR="00C62CA5" w:rsidRPr="0057684D" w:rsidTr="00245391">
        <w:trPr>
          <w:trHeight w:val="397"/>
        </w:trPr>
        <w:tc>
          <w:tcPr>
            <w:tcW w:w="9639" w:type="dxa"/>
          </w:tcPr>
          <w:p w:rsidR="00C62CA5" w:rsidRPr="0057684D" w:rsidRDefault="00C62CA5" w:rsidP="008259B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</w:t>
            </w:r>
            <w:r w:rsidRPr="0057684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smallCaps w:val="0"/>
                <w:color w:val="000000"/>
                <w:szCs w:val="24"/>
              </w:rPr>
              <w:t xml:space="preserve">M. 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Dudzikowa, </w:t>
            </w:r>
            <w:proofErr w:type="spellStart"/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Czerepaniak</w:t>
            </w:r>
            <w:proofErr w:type="spellEnd"/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-Walczak M. (red.), </w:t>
            </w:r>
            <w:r w:rsidRPr="0057684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Wychowanie. Pojęcia. Konteksty. Interdyscyplinarne ujęcia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GWP Gdańsk 2007.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Nelsen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57684D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57684D">
              <w:rPr>
                <w:rFonts w:ascii="Corbel" w:hAnsi="Corbel"/>
                <w:sz w:val="24"/>
                <w:szCs w:val="24"/>
              </w:rPr>
              <w:t>CoJaNaTo</w:t>
            </w:r>
            <w:proofErr w:type="spellEnd"/>
            <w:r w:rsidRPr="0057684D">
              <w:rPr>
                <w:rFonts w:ascii="Corbel" w:hAnsi="Corbel"/>
                <w:sz w:val="24"/>
                <w:szCs w:val="24"/>
              </w:rPr>
              <w:t xml:space="preserve"> Warszawa 2015.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K. Konarzewski,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Podstawy teorii oddziaływań wychowawczych</w:t>
            </w:r>
            <w:r w:rsidRPr="0057684D">
              <w:rPr>
                <w:rFonts w:ascii="Corbel" w:hAnsi="Corbel"/>
                <w:sz w:val="24"/>
                <w:szCs w:val="24"/>
              </w:rPr>
              <w:t>, PWN Warszawa 1982.</w:t>
            </w:r>
          </w:p>
          <w:p w:rsidR="00245391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K. Olbrycht,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Edukacja aksjologiczna</w:t>
            </w:r>
            <w:r w:rsidRPr="0057684D">
              <w:rPr>
                <w:rFonts w:ascii="Corbel" w:hAnsi="Corbel"/>
                <w:sz w:val="24"/>
                <w:szCs w:val="24"/>
              </w:rPr>
              <w:t>, UŚ Katowice 1994.</w:t>
            </w:r>
          </w:p>
          <w:p w:rsidR="00245391" w:rsidRPr="0057684D" w:rsidRDefault="00245391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B. </w:t>
            </w:r>
            <w:r w:rsidR="00C62CA5" w:rsidRPr="0057684D">
              <w:rPr>
                <w:rFonts w:ascii="Corbel" w:hAnsi="Corbel"/>
                <w:sz w:val="24"/>
                <w:szCs w:val="24"/>
              </w:rPr>
              <w:t xml:space="preserve">Śliwerski, </w:t>
            </w:r>
            <w:r w:rsidR="00C62CA5" w:rsidRPr="0057684D">
              <w:rPr>
                <w:rFonts w:ascii="Corbel" w:hAnsi="Corbel"/>
                <w:color w:val="000000"/>
                <w:sz w:val="24"/>
                <w:szCs w:val="24"/>
              </w:rPr>
              <w:t xml:space="preserve">(red.), </w:t>
            </w:r>
            <w:r w:rsidR="00C62CA5" w:rsidRPr="0057684D">
              <w:rPr>
                <w:rFonts w:ascii="Corbel" w:hAnsi="Corbel"/>
                <w:i/>
                <w:color w:val="000000"/>
                <w:sz w:val="24"/>
                <w:szCs w:val="24"/>
              </w:rPr>
              <w:t>Podstawy nauk o wychowaniu. T. 1</w:t>
            </w:r>
            <w:r w:rsidR="00C62CA5" w:rsidRPr="0057684D">
              <w:rPr>
                <w:rFonts w:ascii="Corbel" w:hAnsi="Corbel"/>
                <w:color w:val="000000"/>
                <w:sz w:val="24"/>
                <w:szCs w:val="24"/>
              </w:rPr>
              <w:t>, GWP Gdańsk 2006.</w:t>
            </w:r>
          </w:p>
          <w:p w:rsidR="00C62CA5" w:rsidRPr="0057684D" w:rsidRDefault="00245391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="00C62CA5" w:rsidRPr="0057684D">
              <w:rPr>
                <w:rFonts w:ascii="Corbel" w:hAnsi="Corbel"/>
                <w:sz w:val="24"/>
                <w:szCs w:val="24"/>
              </w:rPr>
              <w:t>Śniegulska</w:t>
            </w:r>
            <w:proofErr w:type="spellEnd"/>
            <w:r w:rsidR="00C62CA5" w:rsidRPr="005768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C62CA5" w:rsidRPr="0057684D">
              <w:rPr>
                <w:rFonts w:ascii="Corbel" w:hAnsi="Corbel"/>
                <w:i/>
                <w:sz w:val="24"/>
                <w:szCs w:val="24"/>
              </w:rPr>
              <w:t>Refleksje nad współczesnym wychowaniem</w:t>
            </w:r>
            <w:r w:rsidR="00C62CA5" w:rsidRPr="0057684D">
              <w:rPr>
                <w:rFonts w:ascii="Corbel" w:hAnsi="Corbel"/>
                <w:sz w:val="24"/>
                <w:szCs w:val="24"/>
              </w:rPr>
              <w:t xml:space="preserve">, UR Rzeszów 2012. 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Tarnowski, </w:t>
            </w:r>
            <w:r w:rsidRPr="0057684D">
              <w:rPr>
                <w:rFonts w:ascii="Corbel" w:hAnsi="Corbel"/>
                <w:iCs/>
                <w:sz w:val="24"/>
                <w:szCs w:val="24"/>
              </w:rPr>
              <w:t xml:space="preserve">Człowiek, dialog, wychowanie, </w:t>
            </w:r>
            <w:r w:rsidRPr="0057684D">
              <w:rPr>
                <w:rFonts w:ascii="Corbel" w:hAnsi="Corbel"/>
                <w:sz w:val="24"/>
                <w:szCs w:val="24"/>
              </w:rPr>
              <w:t xml:space="preserve">„Znak" 1991, nr 9. 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Truskolaska,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Partnerstwo w rodzinie</w:t>
            </w:r>
            <w:r w:rsidRPr="0057684D">
              <w:rPr>
                <w:rFonts w:ascii="Corbel" w:hAnsi="Corbel"/>
                <w:sz w:val="24"/>
                <w:szCs w:val="24"/>
              </w:rPr>
              <w:t>, KUL Lublin 2009.</w:t>
            </w:r>
          </w:p>
        </w:tc>
      </w:tr>
    </w:tbl>
    <w:p w:rsidR="00C62CA5" w:rsidRPr="0057684D" w:rsidRDefault="00C62CA5" w:rsidP="002453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45B5D" w:rsidRPr="0057684D" w:rsidRDefault="00045B5D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45B5D" w:rsidRPr="0057684D" w:rsidRDefault="00045B5D" w:rsidP="00045B5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C62CA5" w:rsidRPr="0057684D" w:rsidRDefault="00C62CA5" w:rsidP="00C62CA5">
      <w:pPr>
        <w:rPr>
          <w:rFonts w:ascii="Corbel" w:hAnsi="Corbel"/>
          <w:sz w:val="24"/>
          <w:szCs w:val="24"/>
        </w:rPr>
      </w:pPr>
    </w:p>
    <w:p w:rsidR="008572CB" w:rsidRPr="0057684D" w:rsidRDefault="008572CB">
      <w:pPr>
        <w:rPr>
          <w:rFonts w:ascii="Corbel" w:hAnsi="Corbel"/>
          <w:sz w:val="24"/>
          <w:szCs w:val="24"/>
        </w:rPr>
      </w:pPr>
    </w:p>
    <w:sectPr w:rsidR="008572CB" w:rsidRPr="005768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E5D" w:rsidRDefault="00191E5D" w:rsidP="00C62CA5">
      <w:pPr>
        <w:spacing w:after="0" w:line="240" w:lineRule="auto"/>
      </w:pPr>
      <w:r>
        <w:separator/>
      </w:r>
    </w:p>
  </w:endnote>
  <w:endnote w:type="continuationSeparator" w:id="0">
    <w:p w:rsidR="00191E5D" w:rsidRDefault="00191E5D" w:rsidP="00C6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E5D" w:rsidRDefault="00191E5D" w:rsidP="00C62CA5">
      <w:pPr>
        <w:spacing w:after="0" w:line="240" w:lineRule="auto"/>
      </w:pPr>
      <w:r>
        <w:separator/>
      </w:r>
    </w:p>
  </w:footnote>
  <w:footnote w:type="continuationSeparator" w:id="0">
    <w:p w:rsidR="00191E5D" w:rsidRDefault="00191E5D" w:rsidP="00C62CA5">
      <w:pPr>
        <w:spacing w:after="0" w:line="240" w:lineRule="auto"/>
      </w:pPr>
      <w:r>
        <w:continuationSeparator/>
      </w:r>
    </w:p>
  </w:footnote>
  <w:footnote w:id="1">
    <w:p w:rsidR="00C62CA5" w:rsidRDefault="00C62CA5" w:rsidP="00C62CA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A1642C"/>
    <w:multiLevelType w:val="hybridMultilevel"/>
    <w:tmpl w:val="46F0BEE6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7149CF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B0622"/>
    <w:multiLevelType w:val="hybridMultilevel"/>
    <w:tmpl w:val="1AA0DDAE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A103A"/>
    <w:multiLevelType w:val="hybridMultilevel"/>
    <w:tmpl w:val="5E46F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CA5"/>
    <w:rsid w:val="00045B5D"/>
    <w:rsid w:val="00191E5D"/>
    <w:rsid w:val="00245391"/>
    <w:rsid w:val="004B6547"/>
    <w:rsid w:val="0057684D"/>
    <w:rsid w:val="007D5FDD"/>
    <w:rsid w:val="0083192A"/>
    <w:rsid w:val="008572CB"/>
    <w:rsid w:val="00A218CC"/>
    <w:rsid w:val="00A77B12"/>
    <w:rsid w:val="00C62CA5"/>
    <w:rsid w:val="00E82EEA"/>
    <w:rsid w:val="00E921AF"/>
    <w:rsid w:val="00EB3B92"/>
    <w:rsid w:val="00F00B4B"/>
    <w:rsid w:val="00F4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7EB8"/>
  <w15:docId w15:val="{1B3AA800-BDCB-4AF9-9C49-B3E20D110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2CA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C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62C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62CA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2CA5"/>
    <w:rPr>
      <w:vertAlign w:val="superscript"/>
    </w:rPr>
  </w:style>
  <w:style w:type="paragraph" w:customStyle="1" w:styleId="Punktygwne">
    <w:name w:val="Punkty główne"/>
    <w:basedOn w:val="Normalny"/>
    <w:rsid w:val="00C62CA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2CA5"/>
  </w:style>
  <w:style w:type="paragraph" w:customStyle="1" w:styleId="Odpowiedzi">
    <w:name w:val="Odpowiedzi"/>
    <w:basedOn w:val="Normalny"/>
    <w:rsid w:val="00C62CA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2CA5"/>
  </w:style>
  <w:style w:type="paragraph" w:customStyle="1" w:styleId="Nagwkitablic">
    <w:name w:val="Nagłówki tablic"/>
    <w:basedOn w:val="Tekstpodstawowy"/>
    <w:uiPriority w:val="99"/>
    <w:rsid w:val="00C62CA5"/>
  </w:style>
  <w:style w:type="paragraph" w:customStyle="1" w:styleId="centralniewrubryce">
    <w:name w:val="centralnie w rubryce"/>
    <w:basedOn w:val="Normalny"/>
    <w:rsid w:val="00C62CA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2CA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2C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2CA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1300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12</cp:revision>
  <dcterms:created xsi:type="dcterms:W3CDTF">2020-02-19T22:54:00Z</dcterms:created>
  <dcterms:modified xsi:type="dcterms:W3CDTF">2021-09-06T09:50:00Z</dcterms:modified>
</cp:coreProperties>
</file>